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2C5282" w:sz="6" w:space="1"/>
        </w:pBdr>
        <w:spacing w:before="0" w:after="200"/>
        <w:jc w:val="center"/>
      </w:pPr>
      <w:r>
        <w:rPr>
          <w:rFonts w:ascii="Arial" w:cs="Arial" w:eastAsia="Arial" w:hAnsi="Arial"/>
          <w:b/>
          <w:bCs/>
          <w:caps/>
          <w:color w:val="2C5282"/>
          <w:sz w:val="40"/>
          <w:szCs w:val="40"/>
        </w:rPr>
        <w:t xml:space="preserve">STIFTENDE GENERALFORSAMLING</w:t>
      </w:r>
    </w:p>
    <w:p>
      <w:pPr>
        <w:spacing w:before="100" w:after="80"/>
        <w:jc w:val="center"/>
      </w:pPr>
      <w:r>
        <w:rPr>
          <w:rFonts w:ascii="Arial" w:cs="Arial" w:eastAsia="Arial" w:hAnsi="Arial"/>
          <w:i/>
          <w:iCs/>
          <w:color w:val="4A5568"/>
          <w:sz w:val="26"/>
          <w:szCs w:val="26"/>
        </w:rPr>
        <w:t xml:space="preserve">Officiel Dagsorden</w:t>
      </w:r>
    </w:p>
    <w:p>
      <w:pPr>
        <w:spacing w:before="60" w:after="60"/>
        <w:jc w:val="center"/>
      </w:pPr>
      <w:r>
        <w:rPr>
          <w:rFonts w:ascii="Arial" w:cs="Arial" w:eastAsia="Arial" w:hAnsi="Arial"/>
          <w:color w:val="718096"/>
          <w:sz w:val="20"/>
          <w:szCs w:val="20"/>
        </w:rPr>
        <w:t xml:space="preserve">Dato: _______________     Sted: _______________     Tidspunkt: _______________</w:t>
      </w:r>
    </w:p>
    <w:p>
      <w:pPr>
        <w:pBdr>
          <w:bottom w:val="single" w:color="2C5282" w:sz="6" w:space="1"/>
        </w:pBdr>
        <w:spacing w:before="160" w:after="160"/>
      </w:pPr>
      <w:r>
        <w:t xml:space="preserve"/>
      </w:r>
    </w:p>
    <w:p>
      <w:pPr>
        <w:spacing w:before="80" w:after="80"/>
        <w:jc w:val="left"/>
      </w:pPr>
      <w:r>
        <w:rPr>
          <w:rFonts w:ascii="Arial" w:cs="Arial" w:eastAsia="Arial" w:hAnsi="Arial"/>
          <w:i/>
          <w:iCs/>
          <w:color w:val="4A5568"/>
          <w:sz w:val="22"/>
          <w:szCs w:val="22"/>
        </w:rPr>
        <w:t xml:space="preserve">I anledning af det fælles erhverv af et fadølsanlæg indkaldes hermed alle interessenter til stiftende generalforsamling med henblik på at formalisere ejerskab, fastsætte vedtægter samt konstituere den øverste ledelse af det fælles interessentskab.</w:t>
      </w:r>
    </w:p>
    <w:p>
      <w:pPr>
        <w:pBdr>
          <w:bottom w:val="single" w:color="2C5282" w:sz="6" w:space="1"/>
        </w:pBdr>
        <w:spacing w:before="160" w:after="160"/>
      </w:pPr>
      <w:r>
        <w:t xml:space="preserve"/>
      </w:r>
    </w:p>
    <w:p>
      <w:pPr>
        <w:pStyle w:val="Heading1"/>
        <w:spacing w:before="320" w:after="160"/>
      </w:pPr>
      <w:r>
        <w:rPr>
          <w:rFonts w:ascii="Arial" w:cs="Arial" w:eastAsia="Arial" w:hAnsi="Arial"/>
          <w:b/>
          <w:bCs/>
          <w:color w:val="2C5282"/>
          <w:sz w:val="32"/>
          <w:szCs w:val="32"/>
        </w:rPr>
        <w:t xml:space="preserve">Punkt 1 – Åbning samt valg af dirigent</w:t>
      </w:r>
    </w:p>
    <w:p>
      <w:pPr>
        <w:spacing w:before="80" w:after="80"/>
        <w:jc w:val="left"/>
      </w:pPr>
      <w:r>
        <w:rPr>
          <w:rFonts w:ascii="Arial" w:cs="Arial" w:eastAsia="Arial" w:hAnsi="Arial"/>
          <w:sz w:val="22"/>
          <w:szCs w:val="22"/>
        </w:rPr>
        <w:t xml:space="preserve">Generalforsamlingen erklæres for åbnet. Der foretages valg af en dirigent, der herefter overtager ledelsen af mødet og påser, at forhandlingerne gennemføres i overensstemmelse med god generalforsamlingsskik og nærværende dagsorden.</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2 – Valg af referent</w:t>
      </w:r>
    </w:p>
    <w:p>
      <w:pPr>
        <w:spacing w:before="80" w:after="80"/>
        <w:jc w:val="left"/>
      </w:pPr>
      <w:r>
        <w:rPr>
          <w:rFonts w:ascii="Arial" w:cs="Arial" w:eastAsia="Arial" w:hAnsi="Arial"/>
          <w:sz w:val="22"/>
          <w:szCs w:val="22"/>
        </w:rPr>
        <w:t xml:space="preserve">Der foretages valg af en referent, der er ansvarlig for udarbejdelse af et fyldestgørende og korrekt referat fra generalforsamlingen. Referatet skal efterfølgende godkendes og underskrives af dirigenten og referenten.</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3 – Formel stiftelse af interessentskabet</w:t>
      </w:r>
    </w:p>
    <w:p>
      <w:pPr>
        <w:spacing w:before="80" w:after="80"/>
        <w:jc w:val="left"/>
      </w:pPr>
      <w:r>
        <w:rPr>
          <w:rFonts w:ascii="Arial" w:cs="Arial" w:eastAsia="Arial" w:hAnsi="Arial"/>
          <w:sz w:val="22"/>
          <w:szCs w:val="22"/>
        </w:rPr>
        <w:t xml:space="preserve">Der træffes formel beslutning om stiftelsen af det fælles interessentskab. Interessentskabets formål er fælles ejerskab, drift og forvaltning af et fadølsanlæg til deling mellem de deltagende interessenter.</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4 – Fastsættelse af interessentskabets navn</w:t>
      </w:r>
    </w:p>
    <w:p>
      <w:pPr>
        <w:spacing w:before="80" w:after="80"/>
        <w:jc w:val="left"/>
      </w:pPr>
      <w:r>
        <w:rPr>
          <w:rFonts w:ascii="Arial" w:cs="Arial" w:eastAsia="Arial" w:hAnsi="Arial"/>
          <w:sz w:val="22"/>
          <w:szCs w:val="22"/>
        </w:rPr>
        <w:t xml:space="preserve">Et navn er en forenings ansigt udadtil og bør afspejle fællesskabets ånd, formål og ambitioner. Generalforsamlingen træffer beslutning om interessentskabets officielle navn ved simpelt flertal.</w:t>
      </w:r>
    </w:p>
    <w:p>
      <w:pPr>
        <w:spacing w:before="60" w:after="60"/>
      </w:pPr>
      <w:r>
        <w:t xml:space="preserve"/>
      </w:r>
    </w:p>
    <w:p>
      <w:pPr>
        <w:pStyle w:val="Heading2"/>
        <w:spacing w:before="240" w:after="120"/>
      </w:pPr>
      <w:r>
        <w:rPr>
          <w:rFonts w:ascii="Arial" w:cs="Arial" w:eastAsia="Arial" w:hAnsi="Arial"/>
          <w:b/>
          <w:bCs/>
          <w:color w:val="1A365D"/>
          <w:sz w:val="26"/>
          <w:szCs w:val="26"/>
        </w:rPr>
        <w:t xml:space="preserve">Forudgående indstilling af navneforslag</w:t>
      </w:r>
    </w:p>
    <w:p>
      <w:pPr>
        <w:spacing w:before="80" w:after="80"/>
        <w:jc w:val="left"/>
      </w:pPr>
      <w:r>
        <w:rPr>
          <w:rFonts w:ascii="Arial" w:cs="Arial" w:eastAsia="Arial" w:hAnsi="Arial"/>
          <w:sz w:val="22"/>
          <w:szCs w:val="22"/>
        </w:rPr>
        <w:t xml:space="preserve">Samtlige interessenter opfordres indtrængende til at indstille et eller flere navneforslag inden generalforsamlingens afholdelse. Forslag fremsendes til [kontaktperson] senest [X dage] før mødet, så der kan udarbejdes en samlet kandidatliste til effektiv behandling på dagen.</w:t>
      </w:r>
    </w:p>
    <w:p>
      <w:pPr>
        <w:spacing w:before="60" w:after="60"/>
      </w:pPr>
      <w:r>
        <w:t xml:space="preserve"/>
      </w:r>
    </w:p>
    <w:p>
      <w:pPr>
        <w:spacing w:before="80" w:after="80"/>
        <w:jc w:val="left"/>
      </w:pPr>
      <w:r>
        <w:rPr>
          <w:rFonts w:ascii="Arial" w:cs="Arial" w:eastAsia="Arial" w:hAnsi="Arial"/>
          <w:sz w:val="22"/>
          <w:szCs w:val="22"/>
        </w:rPr>
        <w:t xml:space="preserve">Et godt navn kan med fordel:</w:t>
      </w:r>
    </w:p>
    <w:p>
      <w:pPr>
        <w:pStyle w:val="ListParagraph"/>
        <w:numPr>
          <w:ilvl w:val="0"/>
          <w:numId w:val="2"/>
        </w:numPr>
        <w:spacing w:before="60" w:after="60"/>
      </w:pPr>
      <w:r>
        <w:rPr>
          <w:rFonts w:ascii="Arial" w:cs="Arial" w:eastAsia="Arial" w:hAnsi="Arial"/>
          <w:b w:val="false"/>
          <w:bCs w:val="false"/>
          <w:sz w:val="22"/>
          <w:szCs w:val="22"/>
        </w:rPr>
        <w:t xml:space="preserve">Afspejle det fælles formål (fadøl, fællesskab, festlighed)</w:t>
      </w:r>
    </w:p>
    <w:p>
      <w:pPr>
        <w:pStyle w:val="ListParagraph"/>
        <w:numPr>
          <w:ilvl w:val="0"/>
          <w:numId w:val="2"/>
        </w:numPr>
        <w:spacing w:before="60" w:after="60"/>
      </w:pPr>
      <w:r>
        <w:rPr>
          <w:rFonts w:ascii="Arial" w:cs="Arial" w:eastAsia="Arial" w:hAnsi="Arial"/>
          <w:b w:val="false"/>
          <w:bCs w:val="false"/>
          <w:sz w:val="22"/>
          <w:szCs w:val="22"/>
        </w:rPr>
        <w:t xml:space="preserve">Være let at huske og udtale</w:t>
      </w:r>
    </w:p>
    <w:p>
      <w:pPr>
        <w:pStyle w:val="ListParagraph"/>
        <w:numPr>
          <w:ilvl w:val="0"/>
          <w:numId w:val="2"/>
        </w:numPr>
        <w:spacing w:before="60" w:after="60"/>
      </w:pPr>
      <w:r>
        <w:rPr>
          <w:rFonts w:ascii="Arial" w:cs="Arial" w:eastAsia="Arial" w:hAnsi="Arial"/>
          <w:b w:val="false"/>
          <w:bCs w:val="false"/>
          <w:sz w:val="22"/>
          <w:szCs w:val="22"/>
        </w:rPr>
        <w:t xml:space="preserve">Indeholde et kreativt eller humoristisk element</w:t>
      </w:r>
    </w:p>
    <w:p>
      <w:pPr>
        <w:pStyle w:val="ListParagraph"/>
        <w:numPr>
          <w:ilvl w:val="0"/>
          <w:numId w:val="2"/>
        </w:numPr>
        <w:spacing w:before="60" w:after="60"/>
      </w:pPr>
      <w:r>
        <w:rPr>
          <w:rFonts w:ascii="Arial" w:cs="Arial" w:eastAsia="Arial" w:hAnsi="Arial"/>
          <w:b w:val="false"/>
          <w:bCs w:val="false"/>
          <w:sz w:val="22"/>
          <w:szCs w:val="22"/>
        </w:rPr>
        <w:t xml:space="preserve">Signalere ejerskab og stolthed over det fælles projekt</w:t>
      </w:r>
    </w:p>
    <w:p>
      <w:pPr>
        <w:spacing w:before="60" w:after="60"/>
      </w:pPr>
      <w:r>
        <w:t xml:space="preserve"/>
      </w:r>
    </w:p>
    <w:p>
      <w:pPr>
        <w:spacing w:before="80" w:after="80"/>
        <w:jc w:val="left"/>
      </w:pPr>
      <w:r>
        <w:rPr>
          <w:rFonts w:ascii="Arial" w:cs="Arial" w:eastAsia="Arial" w:hAnsi="Arial"/>
          <w:i/>
          <w:iCs/>
          <w:sz w:val="22"/>
          <w:szCs w:val="22"/>
        </w:rPr>
        <w:t xml:space="preserve">Det er naturligvis også muligt at fremsætte navneforslag på selve dagen, såfremt inspiration måtte melde sig i tolvte time.</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5 – Vedtagelse af vedtægter</w:t>
      </w:r>
    </w:p>
    <w:p>
      <w:pPr>
        <w:spacing w:before="80" w:after="80"/>
        <w:jc w:val="left"/>
      </w:pPr>
      <w:r>
        <w:rPr>
          <w:rFonts w:ascii="Arial" w:cs="Arial" w:eastAsia="Arial" w:hAnsi="Arial"/>
          <w:sz w:val="22"/>
          <w:szCs w:val="22"/>
        </w:rPr>
        <w:t xml:space="preserve">Der foretages en grundig gennemgang og formel vedtagelse af interessentskabets vedtægter. Vedtægterne danner det retlige grundlag for interessentskabets virke og skal som minimum regulere følgende forhold:</w:t>
      </w:r>
    </w:p>
    <w:p>
      <w:pPr>
        <w:spacing w:before="60" w:after="60"/>
      </w:pPr>
      <w:r>
        <w:t xml:space="preserve"/>
      </w:r>
    </w:p>
    <w:p>
      <w:pPr>
        <w:pStyle w:val="ListParagraph"/>
        <w:numPr>
          <w:ilvl w:val="0"/>
          <w:numId w:val="2"/>
        </w:numPr>
        <w:spacing w:before="60" w:after="60"/>
      </w:pPr>
      <w:r>
        <w:rPr>
          <w:rFonts w:ascii="Arial" w:cs="Arial" w:eastAsia="Arial" w:hAnsi="Arial"/>
          <w:b w:val="false"/>
          <w:bCs w:val="false"/>
          <w:sz w:val="22"/>
          <w:szCs w:val="22"/>
        </w:rPr>
        <w:t xml:space="preserve">Formål og virksomhed</w:t>
      </w:r>
    </w:p>
    <w:p>
      <w:pPr>
        <w:pStyle w:val="ListParagraph"/>
        <w:numPr>
          <w:ilvl w:val="0"/>
          <w:numId w:val="2"/>
        </w:numPr>
        <w:spacing w:before="60" w:after="60"/>
      </w:pPr>
      <w:r>
        <w:rPr>
          <w:rFonts w:ascii="Arial" w:cs="Arial" w:eastAsia="Arial" w:hAnsi="Arial"/>
          <w:b w:val="false"/>
          <w:bCs w:val="false"/>
          <w:sz w:val="22"/>
          <w:szCs w:val="22"/>
        </w:rPr>
        <w:t xml:space="preserve">Interessenternes rettigheder og forpligtelser</w:t>
      </w:r>
    </w:p>
    <w:p>
      <w:pPr>
        <w:pStyle w:val="ListParagraph"/>
        <w:numPr>
          <w:ilvl w:val="0"/>
          <w:numId w:val="2"/>
        </w:numPr>
        <w:spacing w:before="60" w:after="60"/>
      </w:pPr>
      <w:r>
        <w:rPr>
          <w:rFonts w:ascii="Arial" w:cs="Arial" w:eastAsia="Arial" w:hAnsi="Arial"/>
          <w:b w:val="false"/>
          <w:bCs w:val="false"/>
          <w:sz w:val="22"/>
          <w:szCs w:val="22"/>
        </w:rPr>
        <w:t xml:space="preserve">Kontingent og økonomiske bidrag</w:t>
      </w:r>
    </w:p>
    <w:p>
      <w:pPr>
        <w:pStyle w:val="ListParagraph"/>
        <w:numPr>
          <w:ilvl w:val="0"/>
          <w:numId w:val="2"/>
        </w:numPr>
        <w:spacing w:before="60" w:after="60"/>
      </w:pPr>
      <w:r>
        <w:rPr>
          <w:rFonts w:ascii="Arial" w:cs="Arial" w:eastAsia="Arial" w:hAnsi="Arial"/>
          <w:b w:val="false"/>
          <w:bCs w:val="false"/>
          <w:sz w:val="22"/>
          <w:szCs w:val="22"/>
        </w:rPr>
        <w:t xml:space="preserve">Regler for brug, booking og tilbagelevering af anlægget</w:t>
      </w:r>
    </w:p>
    <w:p>
      <w:pPr>
        <w:pStyle w:val="ListParagraph"/>
        <w:numPr>
          <w:ilvl w:val="0"/>
          <w:numId w:val="2"/>
        </w:numPr>
        <w:spacing w:before="60" w:after="60"/>
      </w:pPr>
      <w:r>
        <w:rPr>
          <w:rFonts w:ascii="Arial" w:cs="Arial" w:eastAsia="Arial" w:hAnsi="Arial"/>
          <w:b w:val="false"/>
          <w:bCs w:val="false"/>
          <w:sz w:val="22"/>
          <w:szCs w:val="22"/>
        </w:rPr>
        <w:t xml:space="preserve">Vedligeholdelsesansvar og rengøringsprocedurer</w:t>
      </w:r>
    </w:p>
    <w:p>
      <w:pPr>
        <w:pStyle w:val="ListParagraph"/>
        <w:numPr>
          <w:ilvl w:val="0"/>
          <w:numId w:val="2"/>
        </w:numPr>
        <w:spacing w:before="60" w:after="60"/>
      </w:pPr>
      <w:r>
        <w:rPr>
          <w:rFonts w:ascii="Arial" w:cs="Arial" w:eastAsia="Arial" w:hAnsi="Arial"/>
          <w:b w:val="false"/>
          <w:bCs w:val="false"/>
          <w:sz w:val="22"/>
          <w:szCs w:val="22"/>
        </w:rPr>
        <w:t xml:space="preserve">Procedure ved udtræden eller eksklusion af interessenter</w:t>
      </w:r>
    </w:p>
    <w:p>
      <w:pPr>
        <w:pStyle w:val="ListParagraph"/>
        <w:numPr>
          <w:ilvl w:val="0"/>
          <w:numId w:val="2"/>
        </w:numPr>
        <w:spacing w:before="60" w:after="60"/>
      </w:pPr>
      <w:r>
        <w:rPr>
          <w:rFonts w:ascii="Arial" w:cs="Arial" w:eastAsia="Arial" w:hAnsi="Arial"/>
          <w:b w:val="false"/>
          <w:bCs w:val="false"/>
          <w:sz w:val="22"/>
          <w:szCs w:val="22"/>
        </w:rPr>
        <w:t xml:space="preserve">Regler for skader og erstatningsansvar</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6 – Fastsættelse af kontingent og indskud</w:t>
      </w:r>
    </w:p>
    <w:p>
      <w:pPr>
        <w:spacing w:before="80" w:after="80"/>
        <w:jc w:val="left"/>
      </w:pPr>
      <w:r>
        <w:rPr>
          <w:rFonts w:ascii="Arial" w:cs="Arial" w:eastAsia="Arial" w:hAnsi="Arial"/>
          <w:sz w:val="22"/>
          <w:szCs w:val="22"/>
        </w:rPr>
        <w:t xml:space="preserve">Generalforsamlingen fastsætter de økonomiske vilkår for deltagelse i interessentskabet, herunder:</w:t>
      </w:r>
    </w:p>
    <w:p>
      <w:pPr>
        <w:spacing w:before="60" w:after="60"/>
      </w:pPr>
      <w:r>
        <w:t xml:space="preserve"/>
      </w:r>
    </w:p>
    <w:p>
      <w:pPr>
        <w:pStyle w:val="ListParagraph"/>
        <w:numPr>
          <w:ilvl w:val="0"/>
          <w:numId w:val="2"/>
        </w:numPr>
        <w:spacing w:before="60" w:after="60"/>
      </w:pPr>
      <w:r>
        <w:rPr>
          <w:rFonts w:ascii="Arial" w:cs="Arial" w:eastAsia="Arial" w:hAnsi="Arial"/>
          <w:b w:val="false"/>
          <w:bCs w:val="false"/>
          <w:sz w:val="22"/>
          <w:szCs w:val="22"/>
        </w:rPr>
        <w:t xml:space="preserve">Startindskud pr. interessent ved stiftelsen</w:t>
      </w:r>
    </w:p>
    <w:p>
      <w:pPr>
        <w:pStyle w:val="ListParagraph"/>
        <w:numPr>
          <w:ilvl w:val="0"/>
          <w:numId w:val="2"/>
        </w:numPr>
        <w:spacing w:before="60" w:after="60"/>
      </w:pPr>
      <w:r>
        <w:rPr>
          <w:rFonts w:ascii="Arial" w:cs="Arial" w:eastAsia="Arial" w:hAnsi="Arial"/>
          <w:b w:val="false"/>
          <w:bCs w:val="false"/>
          <w:sz w:val="22"/>
          <w:szCs w:val="22"/>
        </w:rPr>
        <w:t xml:space="preserve">Løbende kontingent til dækning af CO₂, rengøringsmidler, reservedele og eventuel service</w:t>
      </w:r>
    </w:p>
    <w:p>
      <w:pPr>
        <w:pStyle w:val="ListParagraph"/>
        <w:numPr>
          <w:ilvl w:val="0"/>
          <w:numId w:val="2"/>
        </w:numPr>
        <w:spacing w:before="60" w:after="60"/>
      </w:pPr>
      <w:r>
        <w:rPr>
          <w:rFonts w:ascii="Arial" w:cs="Arial" w:eastAsia="Arial" w:hAnsi="Arial"/>
          <w:b w:val="false"/>
          <w:bCs w:val="false"/>
          <w:sz w:val="22"/>
          <w:szCs w:val="22"/>
        </w:rPr>
        <w:t xml:space="preserve">Principper for forvaltning og opbevaring af den fælles kasse</w:t>
      </w:r>
    </w:p>
    <w:p>
      <w:pPr>
        <w:pStyle w:val="ListParagraph"/>
        <w:numPr>
          <w:ilvl w:val="0"/>
          <w:numId w:val="2"/>
        </w:numPr>
        <w:spacing w:before="60" w:after="60"/>
      </w:pPr>
      <w:r>
        <w:rPr>
          <w:rFonts w:ascii="Arial" w:cs="Arial" w:eastAsia="Arial" w:hAnsi="Arial"/>
          <w:b w:val="false"/>
          <w:bCs w:val="false"/>
          <w:sz w:val="22"/>
          <w:szCs w:val="22"/>
        </w:rPr>
        <w:t xml:space="preserve">Procedure ved ekstraordinære udgifter</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7 – Valg af bestyrelse og ansvarlige</w:t>
      </w:r>
    </w:p>
    <w:p>
      <w:pPr>
        <w:spacing w:before="80" w:after="80"/>
        <w:jc w:val="left"/>
      </w:pPr>
      <w:r>
        <w:rPr>
          <w:rFonts w:ascii="Arial" w:cs="Arial" w:eastAsia="Arial" w:hAnsi="Arial"/>
          <w:sz w:val="22"/>
          <w:szCs w:val="22"/>
        </w:rPr>
        <w:t xml:space="preserve">Der foretages valg til interessentskabets øverste ledelse. Følgende poster søges besat:</w:t>
      </w:r>
    </w:p>
    <w:p>
      <w:pPr>
        <w:spacing w:before="60" w:after="60"/>
      </w:pPr>
      <w:r>
        <w:t xml:space="preserve"/>
      </w:r>
    </w:p>
    <w:p>
      <w:pPr>
        <w:pStyle w:val="ListParagraph"/>
        <w:numPr>
          <w:ilvl w:val="0"/>
          <w:numId w:val="2"/>
        </w:numPr>
        <w:spacing w:before="60" w:after="60"/>
      </w:pPr>
      <w:r>
        <w:rPr>
          <w:rFonts w:ascii="Arial" w:cs="Arial" w:eastAsia="Arial" w:hAnsi="Arial"/>
          <w:b/>
          <w:bCs/>
          <w:sz w:val="22"/>
          <w:szCs w:val="22"/>
        </w:rPr>
        <w:t xml:space="preserve">Formand – ansvarlig for koordinering og repræsentation udadtil</w:t>
      </w:r>
    </w:p>
    <w:p>
      <w:pPr>
        <w:pStyle w:val="ListParagraph"/>
        <w:numPr>
          <w:ilvl w:val="0"/>
          <w:numId w:val="2"/>
        </w:numPr>
        <w:spacing w:before="60" w:after="60"/>
      </w:pPr>
      <w:r>
        <w:rPr>
          <w:rFonts w:ascii="Arial" w:cs="Arial" w:eastAsia="Arial" w:hAnsi="Arial"/>
          <w:b/>
          <w:bCs/>
          <w:sz w:val="22"/>
          <w:szCs w:val="22"/>
        </w:rPr>
        <w:t xml:space="preserve">Kasserer – ansvarlig for regnskab, kontingentopkrævning og forvaltning af fælles midler</w:t>
      </w:r>
    </w:p>
    <w:p>
      <w:pPr>
        <w:pStyle w:val="ListParagraph"/>
        <w:numPr>
          <w:ilvl w:val="0"/>
          <w:numId w:val="2"/>
        </w:numPr>
        <w:spacing w:before="60" w:after="60"/>
      </w:pPr>
      <w:r>
        <w:rPr>
          <w:rFonts w:ascii="Arial" w:cs="Arial" w:eastAsia="Arial" w:hAnsi="Arial"/>
          <w:b/>
          <w:bCs/>
          <w:sz w:val="22"/>
          <w:szCs w:val="22"/>
        </w:rPr>
        <w:t xml:space="preserve">Anlægsansvarlig – ansvarlig for koordinering af rengøring, service og booking</w:t>
      </w:r>
    </w:p>
    <w:p>
      <w:pPr>
        <w:spacing w:before="60" w:after="60"/>
      </w:pPr>
      <w:r>
        <w:t xml:space="preserve"/>
      </w:r>
    </w:p>
    <w:p>
      <w:pPr>
        <w:pStyle w:val="Heading2"/>
        <w:spacing w:before="240" w:after="120"/>
      </w:pPr>
      <w:r>
        <w:rPr>
          <w:rFonts w:ascii="Arial" w:cs="Arial" w:eastAsia="Arial" w:hAnsi="Arial"/>
          <w:b/>
          <w:bCs/>
          <w:color w:val="1A365D"/>
          <w:sz w:val="26"/>
          <w:szCs w:val="26"/>
        </w:rPr>
        <w:t xml:space="preserve">Forudgående opstilling til bestyrelsesposter</w:t>
      </w:r>
    </w:p>
    <w:p>
      <w:pPr>
        <w:spacing w:before="80" w:after="80"/>
        <w:jc w:val="left"/>
      </w:pPr>
      <w:r>
        <w:rPr>
          <w:rFonts w:ascii="Arial" w:cs="Arial" w:eastAsia="Arial" w:hAnsi="Arial"/>
          <w:sz w:val="22"/>
          <w:szCs w:val="22"/>
        </w:rPr>
        <w:t xml:space="preserve">Interessenter, der ønsker at lade sig opstille til en bestyrelsespost, opfordres til at melde deres kandidatur på forhånd. Anmodning om opstilling fremsendes til [kontaktperson] senest [X dage] inden generalforsamlingen, så samtlige interessenter har mulighed for at overveje kandidaterne i god tid.</w:t>
      </w:r>
    </w:p>
    <w:p>
      <w:pPr>
        <w:spacing w:before="60" w:after="60"/>
      </w:pPr>
      <w:r>
        <w:t xml:space="preserve"/>
      </w:r>
    </w:p>
    <w:p>
      <w:pPr>
        <w:spacing w:before="80" w:after="80"/>
        <w:jc w:val="left"/>
      </w:pPr>
      <w:r>
        <w:rPr>
          <w:rFonts w:ascii="Arial" w:cs="Arial" w:eastAsia="Arial" w:hAnsi="Arial"/>
          <w:i/>
          <w:iCs/>
          <w:sz w:val="22"/>
          <w:szCs w:val="22"/>
        </w:rPr>
        <w:t xml:space="preserve">Det er ligeledes muligt at opstille til bestyrelsesposter direkte på generalforsamlingen – forhåndstilmelding er alene vejledende og medfører ingen fortrinsret.</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8 – Praktiske retningslinjer for benyttelse af anlægget</w:t>
      </w:r>
    </w:p>
    <w:p>
      <w:pPr>
        <w:spacing w:before="80" w:after="80"/>
        <w:jc w:val="left"/>
      </w:pPr>
      <w:r>
        <w:rPr>
          <w:rFonts w:ascii="Arial" w:cs="Arial" w:eastAsia="Arial" w:hAnsi="Arial"/>
          <w:sz w:val="22"/>
          <w:szCs w:val="22"/>
        </w:rPr>
        <w:t xml:space="preserve">Generalforsamlingen fastsætter de operationelle retningslinjer for benyttelse af interessentskabets fælles aktiver, herunder:</w:t>
      </w:r>
    </w:p>
    <w:p>
      <w:pPr>
        <w:spacing w:before="60" w:after="60"/>
      </w:pPr>
      <w:r>
        <w:t xml:space="preserve"/>
      </w:r>
    </w:p>
    <w:p>
      <w:pPr>
        <w:pStyle w:val="ListParagraph"/>
        <w:numPr>
          <w:ilvl w:val="0"/>
          <w:numId w:val="2"/>
        </w:numPr>
        <w:spacing w:before="60" w:after="60"/>
      </w:pPr>
      <w:r>
        <w:rPr>
          <w:rFonts w:ascii="Arial" w:cs="Arial" w:eastAsia="Arial" w:hAnsi="Arial"/>
          <w:b w:val="false"/>
          <w:bCs w:val="false"/>
          <w:sz w:val="22"/>
          <w:szCs w:val="22"/>
        </w:rPr>
        <w:t xml:space="preserve">Fast opbevaringsadresse for anlægget</w:t>
      </w:r>
    </w:p>
    <w:p>
      <w:pPr>
        <w:pStyle w:val="ListParagraph"/>
        <w:numPr>
          <w:ilvl w:val="0"/>
          <w:numId w:val="2"/>
        </w:numPr>
        <w:spacing w:before="60" w:after="60"/>
      </w:pPr>
      <w:r>
        <w:rPr>
          <w:rFonts w:ascii="Arial" w:cs="Arial" w:eastAsia="Arial" w:hAnsi="Arial"/>
          <w:b w:val="false"/>
          <w:bCs w:val="false"/>
          <w:sz w:val="22"/>
          <w:szCs w:val="22"/>
        </w:rPr>
        <w:t xml:space="preserve">Bookingsystem og reservationsprocedure</w:t>
      </w:r>
    </w:p>
    <w:p>
      <w:pPr>
        <w:pStyle w:val="ListParagraph"/>
        <w:numPr>
          <w:ilvl w:val="0"/>
          <w:numId w:val="2"/>
        </w:numPr>
        <w:spacing w:before="60" w:after="60"/>
      </w:pPr>
      <w:r>
        <w:rPr>
          <w:rFonts w:ascii="Arial" w:cs="Arial" w:eastAsia="Arial" w:hAnsi="Arial"/>
          <w:b w:val="false"/>
          <w:bCs w:val="false"/>
          <w:sz w:val="22"/>
          <w:szCs w:val="22"/>
        </w:rPr>
        <w:t xml:space="preserve">Krav til rengøring og klargøring ved aflevering</w:t>
      </w:r>
    </w:p>
    <w:p>
      <w:pPr>
        <w:pStyle w:val="ListParagraph"/>
        <w:numPr>
          <w:ilvl w:val="0"/>
          <w:numId w:val="2"/>
        </w:numPr>
        <w:spacing w:before="60" w:after="60"/>
      </w:pPr>
      <w:r>
        <w:rPr>
          <w:rFonts w:ascii="Arial" w:cs="Arial" w:eastAsia="Arial" w:hAnsi="Arial"/>
          <w:b w:val="false"/>
          <w:bCs w:val="false"/>
          <w:sz w:val="22"/>
          <w:szCs w:val="22"/>
        </w:rPr>
        <w:t xml:space="preserve">Procedure og kompensation ved skader på anlægget</w:t>
      </w:r>
    </w:p>
    <w:p>
      <w:pPr>
        <w:pStyle w:val="ListParagraph"/>
        <w:numPr>
          <w:ilvl w:val="0"/>
          <w:numId w:val="2"/>
        </w:numPr>
        <w:spacing w:before="60" w:after="60"/>
      </w:pPr>
      <w:r>
        <w:rPr>
          <w:rFonts w:ascii="Arial" w:cs="Arial" w:eastAsia="Arial" w:hAnsi="Arial"/>
          <w:b w:val="false"/>
          <w:bCs w:val="false"/>
          <w:sz w:val="22"/>
          <w:szCs w:val="22"/>
        </w:rPr>
        <w:t xml:space="preserve">Generelle ordensregler</w:t>
      </w:r>
    </w:p>
    <w:p>
      <w:pPr>
        <w:spacing w:before="60" w:after="60"/>
      </w:pPr>
      <w:r>
        <w:t xml:space="preserve"/>
      </w:r>
    </w:p>
    <w:p>
      <w:pPr>
        <w:pStyle w:val="Heading1"/>
        <w:spacing w:before="320" w:after="160"/>
      </w:pPr>
      <w:r>
        <w:rPr>
          <w:rFonts w:ascii="Arial" w:cs="Arial" w:eastAsia="Arial" w:hAnsi="Arial"/>
          <w:b/>
          <w:bCs/>
          <w:color w:val="2C5282"/>
          <w:sz w:val="32"/>
          <w:szCs w:val="32"/>
        </w:rPr>
        <w:t xml:space="preserve">Punkt 9 – Eventuelt</w:t>
      </w:r>
    </w:p>
    <w:p>
      <w:pPr>
        <w:spacing w:before="80" w:after="80"/>
        <w:jc w:val="left"/>
      </w:pPr>
      <w:r>
        <w:rPr>
          <w:rFonts w:ascii="Arial" w:cs="Arial" w:eastAsia="Arial" w:hAnsi="Arial"/>
          <w:sz w:val="22"/>
          <w:szCs w:val="22"/>
        </w:rPr>
        <w:t xml:space="preserve">Under dette punkt kan interessenter fremsætte øvrige punkter til drøftelse, som ikke er omfattet af den øvrige dagsorden. Beslutninger af bindende karakter kan ikke træffes under eventuelt.</w:t>
      </w:r>
    </w:p>
    <w:p>
      <w:pPr>
        <w:pBdr>
          <w:bottom w:val="single" w:color="2C5282" w:sz="6" w:space="1"/>
        </w:pBdr>
        <w:spacing w:before="160" w:after="160"/>
      </w:pPr>
      <w:r>
        <w:t xml:space="preserve"/>
      </w:r>
    </w:p>
    <w:p>
      <w:pPr>
        <w:spacing w:before="100" w:after="60"/>
        <w:jc w:val="center"/>
      </w:pPr>
      <w:r>
        <w:rPr>
          <w:rFonts w:ascii="Arial" w:cs="Arial" w:eastAsia="Arial" w:hAnsi="Arial"/>
          <w:i/>
          <w:iCs/>
          <w:color w:val="718096"/>
          <w:sz w:val="20"/>
          <w:szCs w:val="20"/>
        </w:rPr>
        <w:t xml:space="preserve">Referatet underskrives af dirigent og referent ved generalforsamlingens afslutning.</w:t>
      </w:r>
    </w:p>
    <w:p>
      <w:pPr>
        <w:spacing w:before="60" w:after="60"/>
        <w:jc w:val="center"/>
      </w:pPr>
      <w:r>
        <w:rPr>
          <w:rFonts w:ascii="Arial" w:cs="Arial" w:eastAsia="Arial" w:hAnsi="Arial"/>
          <w:color w:val="718096"/>
          <w:sz w:val="20"/>
          <w:szCs w:val="20"/>
        </w:rPr>
        <w:t xml:space="preserve">Dirigent: ___________________________     Referent: 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2C5282"/>
      <w:sz w:val="32"/>
      <w:szCs w:val="32"/>
    </w:rPr>
  </w:style>
  <w:style w:type="paragraph" w:styleId="Heading2">
    <w:name w:val="Heading 2"/>
    <w:basedOn w:val="Normal"/>
    <w:next w:val="Normal"/>
    <w:qFormat/>
    <w:pPr>
      <w:spacing w:before="240" w:after="120"/>
      <w:outlineLvl w:val="1"/>
    </w:pPr>
    <w:rPr>
      <w:rFonts w:ascii="Arial" w:cs="Arial" w:eastAsia="Arial" w:hAnsi="Arial"/>
      <w:b/>
      <w:bCs/>
      <w:color w:val="1A365D"/>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2026-03-25T07:13:42.132Z</dcterms:created>
  <dcterms:modified xsi:type="dcterms:W3CDTF">2026-03-25T07:13:42.133Z</dcterms:modified>
</cp:coreProperties>
</file>

<file path=docProps/custom.xml><?xml version="1.0" encoding="utf-8"?>
<Properties xmlns="http://schemas.openxmlformats.org/officeDocument/2006/custom-properties" xmlns:vt="http://schemas.openxmlformats.org/officeDocument/2006/docPropsVTypes"/>
</file>